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CF4F" w14:textId="77777777" w:rsidR="00032456" w:rsidRPr="00065E09" w:rsidRDefault="00032456" w:rsidP="00032456">
      <w:pPr>
        <w:pStyle w:val="TEXTONORMAL"/>
        <w:spacing w:line="360" w:lineRule="auto"/>
        <w:jc w:val="both"/>
        <w:rPr>
          <w:rFonts w:asciiTheme="minorHAnsi" w:eastAsiaTheme="minorHAnsi" w:hAnsiTheme="minorHAnsi" w:cstheme="minorBidi"/>
          <w:bCs/>
          <w:sz w:val="24"/>
          <w:szCs w:val="24"/>
        </w:rPr>
      </w:pPr>
    </w:p>
    <w:p w14:paraId="7664F405" w14:textId="49FB41D9" w:rsidR="00032456" w:rsidRPr="002C6F00" w:rsidRDefault="00032456" w:rsidP="00032456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2C6F00">
        <w:rPr>
          <w:rFonts w:asciiTheme="minorHAnsi" w:hAnsiTheme="minorHAnsi"/>
          <w:bCs/>
          <w:i/>
          <w:sz w:val="22"/>
          <w:szCs w:val="22"/>
        </w:rPr>
        <w:t xml:space="preserve">Warszawa, </w:t>
      </w:r>
      <w:r w:rsidR="006F29BE">
        <w:rPr>
          <w:rFonts w:asciiTheme="minorHAnsi" w:hAnsiTheme="minorHAnsi"/>
          <w:bCs/>
          <w:i/>
          <w:sz w:val="22"/>
          <w:szCs w:val="22"/>
        </w:rPr>
        <w:t>17</w:t>
      </w:r>
      <w:r w:rsidRPr="00342C56">
        <w:rPr>
          <w:rFonts w:asciiTheme="minorHAnsi" w:hAnsiTheme="minorHAnsi"/>
          <w:bCs/>
          <w:i/>
          <w:sz w:val="22"/>
          <w:szCs w:val="22"/>
        </w:rPr>
        <w:t>.</w:t>
      </w:r>
      <w:r w:rsidR="000D1BC7">
        <w:rPr>
          <w:rFonts w:asciiTheme="minorHAnsi" w:hAnsiTheme="minorHAnsi"/>
          <w:bCs/>
          <w:i/>
          <w:sz w:val="22"/>
          <w:szCs w:val="22"/>
        </w:rPr>
        <w:t>12</w:t>
      </w:r>
      <w:r w:rsidRPr="00342C56">
        <w:rPr>
          <w:rFonts w:asciiTheme="minorHAnsi" w:hAnsiTheme="minorHAnsi"/>
          <w:bCs/>
          <w:i/>
          <w:sz w:val="22"/>
          <w:szCs w:val="22"/>
        </w:rPr>
        <w:t>.2019</w:t>
      </w:r>
    </w:p>
    <w:p w14:paraId="19F265F8" w14:textId="77777777" w:rsidR="00032456" w:rsidRPr="00FC7A30" w:rsidRDefault="00032456" w:rsidP="0003245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33EA234" w14:textId="71DB2426" w:rsidR="00032456" w:rsidRDefault="006F29BE" w:rsidP="0003245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Konrad Księżopolski</w:t>
      </w:r>
      <w:r w:rsidR="00032456" w:rsidRPr="00726125">
        <w:rPr>
          <w:rFonts w:asciiTheme="minorHAnsi" w:hAnsiTheme="minorHAnsi"/>
          <w:b/>
          <w:sz w:val="22"/>
          <w:szCs w:val="22"/>
        </w:rPr>
        <w:t xml:space="preserve">, </w:t>
      </w:r>
      <w:r w:rsidR="007E7212">
        <w:rPr>
          <w:rFonts w:asciiTheme="minorHAnsi" w:hAnsiTheme="minorHAnsi"/>
          <w:b/>
          <w:sz w:val="22"/>
          <w:szCs w:val="22"/>
        </w:rPr>
        <w:t>Szef Działu Analiz</w:t>
      </w:r>
      <w:r w:rsidR="00032456" w:rsidRPr="0072612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032456" w:rsidRPr="00726125">
        <w:rPr>
          <w:rFonts w:asciiTheme="minorHAnsi" w:hAnsiTheme="minorHAnsi"/>
          <w:b/>
          <w:sz w:val="22"/>
          <w:szCs w:val="22"/>
        </w:rPr>
        <w:t>Haitong</w:t>
      </w:r>
      <w:proofErr w:type="spellEnd"/>
      <w:r w:rsidR="00032456" w:rsidRPr="00726125">
        <w:rPr>
          <w:rFonts w:asciiTheme="minorHAnsi" w:hAnsiTheme="minorHAnsi"/>
          <w:b/>
          <w:sz w:val="22"/>
          <w:szCs w:val="22"/>
        </w:rPr>
        <w:t xml:space="preserve"> Bank</w:t>
      </w:r>
    </w:p>
    <w:p w14:paraId="14E166D5" w14:textId="77777777" w:rsidR="00032456" w:rsidRDefault="00032456" w:rsidP="00032456">
      <w:pPr>
        <w:jc w:val="both"/>
        <w:rPr>
          <w:rFonts w:asciiTheme="minorHAnsi" w:hAnsiTheme="minorHAnsi"/>
          <w:b/>
          <w:sz w:val="22"/>
          <w:szCs w:val="22"/>
        </w:rPr>
      </w:pPr>
    </w:p>
    <w:p w14:paraId="2632A6DD" w14:textId="0EB18BD4" w:rsidR="000D1BC7" w:rsidRDefault="00270A7B" w:rsidP="00032456">
      <w:pPr>
        <w:pStyle w:val="Default"/>
        <w:jc w:val="both"/>
        <w:rPr>
          <w:rFonts w:asciiTheme="minorHAnsi" w:hAnsiTheme="minorHAnsi"/>
          <w:bCs/>
          <w:sz w:val="22"/>
          <w:szCs w:val="19"/>
        </w:rPr>
      </w:pPr>
      <w:proofErr w:type="spellStart"/>
      <w:r w:rsidRPr="00270A7B">
        <w:rPr>
          <w:rFonts w:asciiTheme="minorHAnsi" w:hAnsiTheme="minorHAnsi"/>
          <w:bCs/>
          <w:sz w:val="22"/>
          <w:szCs w:val="19"/>
        </w:rPr>
        <w:t>H</w:t>
      </w:r>
      <w:r>
        <w:rPr>
          <w:rFonts w:asciiTheme="minorHAnsi" w:hAnsiTheme="minorHAnsi"/>
          <w:bCs/>
          <w:sz w:val="22"/>
          <w:szCs w:val="19"/>
        </w:rPr>
        <w:t>a</w:t>
      </w:r>
      <w:r w:rsidRPr="00270A7B">
        <w:rPr>
          <w:rFonts w:asciiTheme="minorHAnsi" w:hAnsiTheme="minorHAnsi"/>
          <w:bCs/>
          <w:sz w:val="22"/>
          <w:szCs w:val="19"/>
        </w:rPr>
        <w:t>itong</w:t>
      </w:r>
      <w:proofErr w:type="spellEnd"/>
      <w:r w:rsidRPr="00270A7B">
        <w:rPr>
          <w:rFonts w:asciiTheme="minorHAnsi" w:hAnsiTheme="minorHAnsi"/>
          <w:bCs/>
          <w:sz w:val="22"/>
          <w:szCs w:val="19"/>
        </w:rPr>
        <w:t xml:space="preserve"> Bank w raporcie z</w:t>
      </w:r>
      <w:r>
        <w:rPr>
          <w:rFonts w:asciiTheme="minorHAnsi" w:hAnsiTheme="minorHAnsi"/>
          <w:bCs/>
          <w:sz w:val="22"/>
          <w:szCs w:val="19"/>
        </w:rPr>
        <w:t xml:space="preserve"> </w:t>
      </w:r>
      <w:r w:rsidR="006F29BE">
        <w:rPr>
          <w:rFonts w:asciiTheme="minorHAnsi" w:hAnsiTheme="minorHAnsi"/>
          <w:bCs/>
          <w:sz w:val="22"/>
          <w:szCs w:val="19"/>
        </w:rPr>
        <w:t>16</w:t>
      </w:r>
      <w:r>
        <w:rPr>
          <w:rFonts w:asciiTheme="minorHAnsi" w:hAnsiTheme="minorHAnsi"/>
          <w:bCs/>
          <w:sz w:val="22"/>
          <w:szCs w:val="19"/>
        </w:rPr>
        <w:t xml:space="preserve"> grudnia (godz. </w:t>
      </w:r>
      <w:r w:rsidRPr="00841C97">
        <w:rPr>
          <w:rFonts w:asciiTheme="minorHAnsi" w:hAnsiTheme="minorHAnsi"/>
          <w:bCs/>
          <w:sz w:val="22"/>
          <w:szCs w:val="19"/>
        </w:rPr>
        <w:t xml:space="preserve">8:00) </w:t>
      </w:r>
      <w:r w:rsidR="00841C97" w:rsidRPr="00841C97">
        <w:rPr>
          <w:rFonts w:asciiTheme="minorHAnsi" w:hAnsiTheme="minorHAnsi"/>
          <w:bCs/>
          <w:sz w:val="22"/>
          <w:szCs w:val="19"/>
        </w:rPr>
        <w:t>aktualizuje rekomendacje dla następujących spół</w:t>
      </w:r>
      <w:r w:rsidR="00841C97">
        <w:rPr>
          <w:rFonts w:asciiTheme="minorHAnsi" w:hAnsiTheme="minorHAnsi"/>
          <w:bCs/>
          <w:sz w:val="22"/>
          <w:szCs w:val="19"/>
        </w:rPr>
        <w:t xml:space="preserve">ek z sektora </w:t>
      </w:r>
      <w:r w:rsidR="006F29BE">
        <w:rPr>
          <w:rFonts w:asciiTheme="minorHAnsi" w:hAnsiTheme="minorHAnsi"/>
          <w:bCs/>
          <w:sz w:val="22"/>
          <w:szCs w:val="19"/>
        </w:rPr>
        <w:t>TMT</w:t>
      </w:r>
      <w:r w:rsidR="00841C97">
        <w:rPr>
          <w:rFonts w:asciiTheme="minorHAnsi" w:hAnsiTheme="minorHAnsi"/>
          <w:bCs/>
          <w:sz w:val="22"/>
          <w:szCs w:val="19"/>
        </w:rPr>
        <w:t>:</w:t>
      </w:r>
    </w:p>
    <w:p w14:paraId="00384095" w14:textId="77777777" w:rsidR="00841C97" w:rsidRDefault="00841C97" w:rsidP="00032456">
      <w:pPr>
        <w:pStyle w:val="Default"/>
        <w:jc w:val="both"/>
        <w:rPr>
          <w:rFonts w:asciiTheme="minorHAnsi" w:hAnsiTheme="minorHAnsi"/>
          <w:bCs/>
          <w:sz w:val="22"/>
          <w:szCs w:val="19"/>
        </w:rPr>
      </w:pPr>
    </w:p>
    <w:p w14:paraId="091254DF" w14:textId="05EBBEF2" w:rsidR="00841C97" w:rsidRDefault="00D911FC" w:rsidP="00841C9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19"/>
        </w:rPr>
      </w:pPr>
      <w:r>
        <w:rPr>
          <w:rFonts w:asciiTheme="minorHAnsi" w:hAnsiTheme="minorHAnsi"/>
          <w:bCs/>
          <w:sz w:val="22"/>
          <w:szCs w:val="19"/>
        </w:rPr>
        <w:t xml:space="preserve">NEUTRALNIE </w:t>
      </w:r>
      <w:r>
        <w:rPr>
          <w:rFonts w:asciiTheme="minorHAnsi" w:hAnsiTheme="minorHAnsi"/>
          <w:sz w:val="22"/>
          <w:szCs w:val="19"/>
        </w:rPr>
        <w:t xml:space="preserve">dla </w:t>
      </w:r>
      <w:r w:rsidR="006F29BE">
        <w:rPr>
          <w:rFonts w:asciiTheme="minorHAnsi" w:hAnsiTheme="minorHAnsi"/>
          <w:sz w:val="22"/>
          <w:szCs w:val="19"/>
        </w:rPr>
        <w:t xml:space="preserve">Asseco Poland </w:t>
      </w:r>
      <w:r>
        <w:rPr>
          <w:rFonts w:asciiTheme="minorHAnsi" w:hAnsiTheme="minorHAnsi"/>
          <w:sz w:val="22"/>
          <w:szCs w:val="19"/>
        </w:rPr>
        <w:t xml:space="preserve">(FV </w:t>
      </w:r>
      <w:r w:rsidR="006F29BE">
        <w:rPr>
          <w:rFonts w:asciiTheme="minorHAnsi" w:hAnsiTheme="minorHAnsi"/>
          <w:sz w:val="22"/>
          <w:szCs w:val="19"/>
        </w:rPr>
        <w:t>59,9</w:t>
      </w:r>
      <w:r>
        <w:rPr>
          <w:rFonts w:asciiTheme="minorHAnsi" w:hAnsiTheme="minorHAnsi"/>
          <w:sz w:val="22"/>
          <w:szCs w:val="19"/>
        </w:rPr>
        <w:t xml:space="preserve"> PLN)</w:t>
      </w:r>
    </w:p>
    <w:p w14:paraId="117C7CF5" w14:textId="673C115E" w:rsidR="00D911FC" w:rsidRPr="00841C97" w:rsidRDefault="006F29BE" w:rsidP="00D911F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19"/>
        </w:rPr>
      </w:pPr>
      <w:r>
        <w:rPr>
          <w:rFonts w:asciiTheme="minorHAnsi" w:hAnsiTheme="minorHAnsi"/>
          <w:bCs/>
          <w:sz w:val="22"/>
          <w:szCs w:val="19"/>
        </w:rPr>
        <w:t>KUPUJ</w:t>
      </w:r>
      <w:r w:rsidR="00D911FC">
        <w:rPr>
          <w:rFonts w:asciiTheme="minorHAnsi" w:hAnsiTheme="minorHAnsi"/>
          <w:bCs/>
          <w:sz w:val="22"/>
          <w:szCs w:val="19"/>
        </w:rPr>
        <w:t xml:space="preserve"> dla </w:t>
      </w:r>
      <w:proofErr w:type="spellStart"/>
      <w:r>
        <w:rPr>
          <w:rFonts w:asciiTheme="minorHAnsi" w:hAnsiTheme="minorHAnsi"/>
          <w:bCs/>
          <w:sz w:val="22"/>
          <w:szCs w:val="19"/>
        </w:rPr>
        <w:t>Comarch</w:t>
      </w:r>
      <w:proofErr w:type="spellEnd"/>
      <w:r w:rsidR="00D911FC">
        <w:rPr>
          <w:rFonts w:asciiTheme="minorHAnsi" w:hAnsiTheme="minorHAnsi"/>
          <w:bCs/>
          <w:sz w:val="22"/>
          <w:szCs w:val="19"/>
        </w:rPr>
        <w:t xml:space="preserve"> (FV </w:t>
      </w:r>
      <w:r>
        <w:rPr>
          <w:rFonts w:asciiTheme="minorHAnsi" w:hAnsiTheme="minorHAnsi"/>
          <w:bCs/>
          <w:sz w:val="22"/>
          <w:szCs w:val="19"/>
        </w:rPr>
        <w:t xml:space="preserve">226,9 </w:t>
      </w:r>
      <w:r w:rsidR="00D911FC">
        <w:rPr>
          <w:rFonts w:asciiTheme="minorHAnsi" w:hAnsiTheme="minorHAnsi"/>
          <w:bCs/>
          <w:sz w:val="22"/>
          <w:szCs w:val="19"/>
        </w:rPr>
        <w:t>PLN)</w:t>
      </w:r>
    </w:p>
    <w:p w14:paraId="2EABD7A4" w14:textId="22881ED2" w:rsidR="00D911FC" w:rsidRDefault="006F29BE" w:rsidP="00841C9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19"/>
        </w:rPr>
      </w:pPr>
      <w:r>
        <w:rPr>
          <w:rFonts w:asciiTheme="minorHAnsi" w:hAnsiTheme="minorHAnsi"/>
          <w:bCs/>
          <w:sz w:val="22"/>
          <w:szCs w:val="19"/>
        </w:rPr>
        <w:t>KUPUJ</w:t>
      </w:r>
      <w:r w:rsidR="00D911FC" w:rsidRPr="00831889">
        <w:rPr>
          <w:rFonts w:asciiTheme="minorHAnsi" w:hAnsiTheme="minorHAnsi"/>
          <w:bCs/>
          <w:sz w:val="22"/>
          <w:szCs w:val="19"/>
        </w:rPr>
        <w:t xml:space="preserve"> dla </w:t>
      </w:r>
      <w:proofErr w:type="spellStart"/>
      <w:r>
        <w:rPr>
          <w:rFonts w:asciiTheme="minorHAnsi" w:hAnsiTheme="minorHAnsi"/>
          <w:bCs/>
          <w:sz w:val="22"/>
          <w:szCs w:val="19"/>
        </w:rPr>
        <w:t>LiveChat</w:t>
      </w:r>
      <w:proofErr w:type="spellEnd"/>
      <w:r w:rsidR="00D911FC">
        <w:rPr>
          <w:rFonts w:asciiTheme="minorHAnsi" w:hAnsiTheme="minorHAnsi"/>
          <w:bCs/>
          <w:sz w:val="22"/>
          <w:szCs w:val="19"/>
        </w:rPr>
        <w:t xml:space="preserve"> (FV </w:t>
      </w:r>
      <w:r>
        <w:rPr>
          <w:rFonts w:asciiTheme="minorHAnsi" w:hAnsiTheme="minorHAnsi"/>
          <w:bCs/>
          <w:sz w:val="22"/>
          <w:szCs w:val="19"/>
        </w:rPr>
        <w:t>58,4</w:t>
      </w:r>
      <w:r w:rsidR="00D911FC" w:rsidRPr="00831889">
        <w:rPr>
          <w:rFonts w:asciiTheme="minorHAnsi" w:hAnsiTheme="minorHAnsi"/>
          <w:bCs/>
          <w:sz w:val="22"/>
          <w:szCs w:val="19"/>
        </w:rPr>
        <w:t xml:space="preserve"> </w:t>
      </w:r>
      <w:r w:rsidR="00D911FC">
        <w:rPr>
          <w:rFonts w:asciiTheme="minorHAnsi" w:hAnsiTheme="minorHAnsi"/>
          <w:bCs/>
          <w:sz w:val="22"/>
          <w:szCs w:val="19"/>
        </w:rPr>
        <w:t>PLN)</w:t>
      </w:r>
    </w:p>
    <w:p w14:paraId="5B1322B3" w14:textId="7B89CD1A" w:rsidR="006F29BE" w:rsidRDefault="006F29BE" w:rsidP="00841C9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19"/>
        </w:rPr>
      </w:pPr>
      <w:r>
        <w:rPr>
          <w:rFonts w:asciiTheme="minorHAnsi" w:hAnsiTheme="minorHAnsi"/>
          <w:bCs/>
          <w:sz w:val="22"/>
          <w:szCs w:val="19"/>
        </w:rPr>
        <w:t xml:space="preserve">KUPUJ dla Ten </w:t>
      </w:r>
      <w:proofErr w:type="spellStart"/>
      <w:r>
        <w:rPr>
          <w:rFonts w:asciiTheme="minorHAnsi" w:hAnsiTheme="minorHAnsi"/>
          <w:bCs/>
          <w:sz w:val="22"/>
          <w:szCs w:val="19"/>
        </w:rPr>
        <w:t>Square</w:t>
      </w:r>
      <w:proofErr w:type="spellEnd"/>
      <w:r>
        <w:rPr>
          <w:rFonts w:asciiTheme="minorHAnsi" w:hAnsiTheme="minorHAnsi"/>
          <w:bCs/>
          <w:sz w:val="22"/>
          <w:szCs w:val="19"/>
        </w:rPr>
        <w:t xml:space="preserve"> Games (FV 233,4 PLN)</w:t>
      </w:r>
    </w:p>
    <w:p w14:paraId="41588241" w14:textId="3ED2C72E" w:rsidR="006F29BE" w:rsidRPr="00841C97" w:rsidRDefault="006F29BE" w:rsidP="00841C9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19"/>
        </w:rPr>
      </w:pPr>
      <w:r>
        <w:rPr>
          <w:rFonts w:asciiTheme="minorHAnsi" w:hAnsiTheme="minorHAnsi"/>
          <w:bCs/>
          <w:sz w:val="22"/>
          <w:szCs w:val="19"/>
        </w:rPr>
        <w:t>KUPUJ dla Wirtualna Polska (FV 74,6 PLN)</w:t>
      </w:r>
    </w:p>
    <w:p w14:paraId="1F4EA018" w14:textId="77777777" w:rsidR="000D1BC7" w:rsidRPr="00841C97" w:rsidRDefault="000D1BC7" w:rsidP="00032456">
      <w:pPr>
        <w:pStyle w:val="Default"/>
        <w:jc w:val="both"/>
        <w:rPr>
          <w:rFonts w:asciiTheme="minorHAnsi" w:hAnsiTheme="minorHAnsi"/>
          <w:bCs/>
          <w:sz w:val="22"/>
          <w:szCs w:val="19"/>
        </w:rPr>
      </w:pPr>
    </w:p>
    <w:p w14:paraId="3F0345AD" w14:textId="77777777" w:rsidR="005C469C" w:rsidRPr="005C469C" w:rsidRDefault="005C469C" w:rsidP="005C469C">
      <w:pPr>
        <w:jc w:val="both"/>
        <w:rPr>
          <w:rFonts w:asciiTheme="minorHAnsi" w:hAnsiTheme="minorHAnsi"/>
          <w:b/>
          <w:bCs/>
          <w:sz w:val="22"/>
          <w:szCs w:val="19"/>
        </w:rPr>
      </w:pPr>
      <w:r w:rsidRPr="005C469C">
        <w:rPr>
          <w:rFonts w:asciiTheme="minorHAnsi" w:hAnsiTheme="minorHAnsi"/>
          <w:b/>
          <w:bCs/>
          <w:sz w:val="22"/>
          <w:szCs w:val="19"/>
        </w:rPr>
        <w:t>Asseco Poland</w:t>
      </w:r>
    </w:p>
    <w:p w14:paraId="7B94DF8D" w14:textId="372203F8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Analitycy utrzymują rekomendację NEUTRALNIE dla Asseco Poland, podnosząc cenę docelową akcji do 59,9 PLN z 50,9 PLN. Wynika to z wyższych szacunków zysku netto spółki na lata 2019-2020 odpowiednio o 13 i 4 proc. w efekcie szybszego od oczekiwań wzrostu wyników spółki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Formula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Systems i Asseco International. W trzecim kwartale 2019 r.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backlog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grupy</w:t>
      </w:r>
      <w:r w:rsidR="00012EBA">
        <w:rPr>
          <w:rFonts w:asciiTheme="minorHAnsi" w:hAnsiTheme="minorHAnsi"/>
          <w:bCs/>
          <w:sz w:val="22"/>
          <w:szCs w:val="19"/>
        </w:rPr>
        <w:t xml:space="preserve"> </w:t>
      </w:r>
      <w:r w:rsidRPr="005C469C">
        <w:rPr>
          <w:rFonts w:asciiTheme="minorHAnsi" w:hAnsiTheme="minorHAnsi"/>
          <w:bCs/>
          <w:sz w:val="22"/>
          <w:szCs w:val="19"/>
        </w:rPr>
        <w:t>kapitałowej Asseco był wyższy o 14 proc. r/r., co wynikało ze</w:t>
      </w:r>
      <w:r w:rsidR="00012EBA">
        <w:rPr>
          <w:rFonts w:asciiTheme="minorHAnsi" w:hAnsiTheme="minorHAnsi"/>
          <w:bCs/>
          <w:sz w:val="22"/>
          <w:szCs w:val="19"/>
        </w:rPr>
        <w:t xml:space="preserve"> </w:t>
      </w:r>
      <w:r w:rsidRPr="005C469C">
        <w:rPr>
          <w:rFonts w:asciiTheme="minorHAnsi" w:hAnsiTheme="minorHAnsi"/>
          <w:bCs/>
          <w:sz w:val="22"/>
          <w:szCs w:val="19"/>
        </w:rPr>
        <w:t xml:space="preserve">wzrostu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backlogu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w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Formula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Systems (o 21 proc. r/r) i Asseco International (o 15 proc. r/r), mimo jego spadku w spółce Asseco Poland – o 10 proc. r/r. Spadek ten był skutkiem wysokiej bazy z 2018 r. (usprawnienie systemów bankowych) i redukcją skali biznesu hardware (Asseco Data Systems).</w:t>
      </w:r>
    </w:p>
    <w:p w14:paraId="19511F08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582044A8" w14:textId="7D07F1AD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>Asseco Poland dobrze poradził sobie w segmencie opieki medycznej, wygrywając od początku roku ok. 32 proc. przetargów wartych łącznie 57 mln PLN. Biorą</w:t>
      </w:r>
      <w:r w:rsidR="006858CB">
        <w:rPr>
          <w:rFonts w:asciiTheme="minorHAnsi" w:hAnsiTheme="minorHAnsi"/>
          <w:bCs/>
          <w:sz w:val="22"/>
          <w:szCs w:val="19"/>
        </w:rPr>
        <w:t>c pod uwagę wysokie przepływy z </w:t>
      </w:r>
      <w:r w:rsidRPr="005C469C">
        <w:rPr>
          <w:rFonts w:asciiTheme="minorHAnsi" w:hAnsiTheme="minorHAnsi"/>
          <w:bCs/>
          <w:sz w:val="22"/>
          <w:szCs w:val="19"/>
        </w:rPr>
        <w:t>działalności operacyjnej, które na koniec września 2019 r. były na poziomie 791 mln PLN (wobec 482 mln PLN w analogicznym okresie rok wcześniej), przepływy z działalności inwestycyjnej na poziomie -421 mln PLN na koniec września 2019 r. (-306 mln PLN rok wcześniej), analitycy oczekują, że Asseco wypłaci sowitą dywidendę w wysokości 3 PLN na akcję, co daje stopę dywidendy na poziomie 5 proc.</w:t>
      </w:r>
    </w:p>
    <w:p w14:paraId="68F6B732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5BDEF505" w14:textId="0384848A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proofErr w:type="spellStart"/>
      <w:r w:rsidRPr="005C469C">
        <w:rPr>
          <w:rFonts w:asciiTheme="minorHAnsi" w:hAnsiTheme="minorHAnsi"/>
          <w:bCs/>
          <w:sz w:val="22"/>
          <w:szCs w:val="19"/>
        </w:rPr>
        <w:t>Haitong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Bank przewiduje, że zyskowność Asseco Poland wciąż będzie pod presją. Od początku roku marża operacyjna spółki-matki spadła do 14,9 proc. z 21,4 proc. w 2018 r. W samym trzecim kwartale 2019 r. marża operacyjna zmalała do 14,7 proc. wobec 22,6 pr</w:t>
      </w:r>
      <w:r w:rsidR="006858CB">
        <w:rPr>
          <w:rFonts w:asciiTheme="minorHAnsi" w:hAnsiTheme="minorHAnsi"/>
          <w:bCs/>
          <w:sz w:val="22"/>
          <w:szCs w:val="19"/>
        </w:rPr>
        <w:t>oc. w analogicznym okresie w </w:t>
      </w:r>
      <w:r w:rsidRPr="005C469C">
        <w:rPr>
          <w:rFonts w:asciiTheme="minorHAnsi" w:hAnsiTheme="minorHAnsi"/>
          <w:bCs/>
          <w:sz w:val="22"/>
          <w:szCs w:val="19"/>
        </w:rPr>
        <w:t>2018 r. Według sp</w:t>
      </w:r>
      <w:r w:rsidR="004216B3">
        <w:rPr>
          <w:rFonts w:asciiTheme="minorHAnsi" w:hAnsiTheme="minorHAnsi"/>
          <w:bCs/>
          <w:sz w:val="22"/>
          <w:szCs w:val="19"/>
        </w:rPr>
        <w:t>ółki był to skutek kosztów począ</w:t>
      </w:r>
      <w:r w:rsidRPr="005C469C">
        <w:rPr>
          <w:rFonts w:asciiTheme="minorHAnsi" w:hAnsiTheme="minorHAnsi"/>
          <w:bCs/>
          <w:sz w:val="22"/>
          <w:szCs w:val="19"/>
        </w:rPr>
        <w:t>tkowych na kontraktach przejętych od innych firm, z których spółka nie generuje jeszcze przychodów. W czwartym kwartale 2019 r. zyski z nowych kontraktów powinny ulec lekkiej poprawie a w 2020 r. analitycy przewidują, że zyski będą widoczne w wynikach.</w:t>
      </w:r>
    </w:p>
    <w:p w14:paraId="136AA453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7D2EC004" w14:textId="77777777" w:rsidR="005C469C" w:rsidRPr="006E513F" w:rsidRDefault="005C469C" w:rsidP="005C469C">
      <w:pPr>
        <w:jc w:val="both"/>
        <w:rPr>
          <w:rFonts w:asciiTheme="minorHAnsi" w:hAnsiTheme="minorHAnsi"/>
          <w:b/>
          <w:bCs/>
          <w:sz w:val="22"/>
          <w:szCs w:val="19"/>
        </w:rPr>
      </w:pPr>
      <w:proofErr w:type="spellStart"/>
      <w:r w:rsidRPr="006E513F">
        <w:rPr>
          <w:rFonts w:asciiTheme="minorHAnsi" w:hAnsiTheme="minorHAnsi"/>
          <w:b/>
          <w:bCs/>
          <w:sz w:val="22"/>
          <w:szCs w:val="19"/>
        </w:rPr>
        <w:t>Comarch</w:t>
      </w:r>
      <w:proofErr w:type="spellEnd"/>
    </w:p>
    <w:p w14:paraId="05895EAE" w14:textId="58994E2C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Analitycy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Haitong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Banku utrzymują rekomendację KUPUJ dla Comarchu, podwyższając cenę docelową do 226,9 PLN z 215 PLN. Wyższa cena docelowa wynika z podwyższenia prognoz dotyczących EBITDA spółki w latach 2019-2021 odpowiednio o 21/4/2 proc. Zdaniem analityków, Comarchowi pomaga rosnąć szeroka oferta produktowa i sektorowa oraz dywersyfikacja geograficzna połączona z globalnym rozwojem. Z kolei do silnej pozycji spółki</w:t>
      </w:r>
      <w:r w:rsidR="004216B3">
        <w:rPr>
          <w:rFonts w:asciiTheme="minorHAnsi" w:hAnsiTheme="minorHAnsi"/>
          <w:bCs/>
          <w:sz w:val="22"/>
          <w:szCs w:val="19"/>
        </w:rPr>
        <w:t xml:space="preserve"> </w:t>
      </w:r>
      <w:r w:rsidRPr="005C469C">
        <w:rPr>
          <w:rFonts w:asciiTheme="minorHAnsi" w:hAnsiTheme="minorHAnsi"/>
          <w:bCs/>
          <w:sz w:val="22"/>
          <w:szCs w:val="19"/>
        </w:rPr>
        <w:t>na rynku ERP w Polsce</w:t>
      </w:r>
      <w:r w:rsidR="006858CB">
        <w:rPr>
          <w:rFonts w:asciiTheme="minorHAnsi" w:hAnsiTheme="minorHAnsi"/>
          <w:bCs/>
          <w:sz w:val="22"/>
          <w:szCs w:val="19"/>
        </w:rPr>
        <w:br/>
      </w:r>
      <w:r w:rsidRPr="005C469C">
        <w:rPr>
          <w:rFonts w:asciiTheme="minorHAnsi" w:hAnsiTheme="minorHAnsi"/>
          <w:bCs/>
          <w:sz w:val="22"/>
          <w:szCs w:val="19"/>
        </w:rPr>
        <w:t>i</w:t>
      </w:r>
      <w:r w:rsidR="006858CB">
        <w:rPr>
          <w:rFonts w:asciiTheme="minorHAnsi" w:hAnsiTheme="minorHAnsi"/>
          <w:bCs/>
          <w:sz w:val="22"/>
          <w:szCs w:val="19"/>
        </w:rPr>
        <w:t xml:space="preserve"> </w:t>
      </w:r>
      <w:r w:rsidRPr="005C469C">
        <w:rPr>
          <w:rFonts w:asciiTheme="minorHAnsi" w:hAnsiTheme="minorHAnsi"/>
          <w:bCs/>
          <w:sz w:val="22"/>
          <w:szCs w:val="19"/>
        </w:rPr>
        <w:t xml:space="preserve">segmencie telekomunikacyjnym, systemów lojalnościowych w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Trade&amp;Services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i segmentach przemysłowych, spółkę wzmocnią referencje w ramach kontraktu 5G w Korei Południowej.</w:t>
      </w:r>
    </w:p>
    <w:p w14:paraId="0201EB31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1EA87033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Poprawiające się przychody w połączeniu ze wzrostem udziału wysokomarżowego, własnego oprogramowania będą wspierać zyskowność Comarchu (marża brutto z ostatnich 12. miesięcy stale </w:t>
      </w:r>
      <w:r w:rsidRPr="005C469C">
        <w:rPr>
          <w:rFonts w:asciiTheme="minorHAnsi" w:hAnsiTheme="minorHAnsi"/>
          <w:bCs/>
          <w:sz w:val="22"/>
          <w:szCs w:val="19"/>
        </w:rPr>
        <w:lastRenderedPageBreak/>
        <w:t xml:space="preserve">rośnie od początku 2018 r.). Jako główne ryzyko dla działalności inwestycyjnej spółki, poza sytuacją ekonomiczną na świecie, analitycy wskazują stale rosnące wynagrodzenia. Biorąc pod uwagę wzrost wyników i przepływy pieniężne, oczekują, że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Comarch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wypłaci dywidendę w wysokości 1,5 PLN na akcję, ze stopą dywidendy na poziomie 0,8 proc.</w:t>
      </w:r>
    </w:p>
    <w:p w14:paraId="3EE50D40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743A2DFC" w14:textId="67870B19" w:rsidR="005C469C" w:rsidRPr="005C469C" w:rsidRDefault="006858CB" w:rsidP="005C469C">
      <w:pPr>
        <w:jc w:val="both"/>
        <w:rPr>
          <w:rFonts w:asciiTheme="minorHAnsi" w:hAnsiTheme="minorHAnsi"/>
          <w:bCs/>
          <w:sz w:val="22"/>
          <w:szCs w:val="19"/>
        </w:rPr>
      </w:pPr>
      <w:r>
        <w:rPr>
          <w:rFonts w:asciiTheme="minorHAnsi" w:hAnsiTheme="minorHAnsi"/>
          <w:bCs/>
          <w:sz w:val="22"/>
          <w:szCs w:val="19"/>
        </w:rPr>
        <w:t xml:space="preserve">Zdaniem analityków </w:t>
      </w:r>
      <w:proofErr w:type="spellStart"/>
      <w:r>
        <w:rPr>
          <w:rFonts w:asciiTheme="minorHAnsi" w:hAnsiTheme="minorHAnsi"/>
          <w:bCs/>
          <w:sz w:val="22"/>
          <w:szCs w:val="19"/>
        </w:rPr>
        <w:t>Hai</w:t>
      </w:r>
      <w:r w:rsidR="005C469C" w:rsidRPr="005C469C">
        <w:rPr>
          <w:rFonts w:asciiTheme="minorHAnsi" w:hAnsiTheme="minorHAnsi"/>
          <w:bCs/>
          <w:sz w:val="22"/>
          <w:szCs w:val="19"/>
        </w:rPr>
        <w:t>t</w:t>
      </w:r>
      <w:r>
        <w:rPr>
          <w:rFonts w:asciiTheme="minorHAnsi" w:hAnsiTheme="minorHAnsi"/>
          <w:bCs/>
          <w:sz w:val="22"/>
          <w:szCs w:val="19"/>
        </w:rPr>
        <w:t>o</w:t>
      </w:r>
      <w:bookmarkStart w:id="0" w:name="_GoBack"/>
      <w:bookmarkEnd w:id="0"/>
      <w:r w:rsidR="005C469C" w:rsidRPr="005C469C">
        <w:rPr>
          <w:rFonts w:asciiTheme="minorHAnsi" w:hAnsiTheme="minorHAnsi"/>
          <w:bCs/>
          <w:sz w:val="22"/>
          <w:szCs w:val="19"/>
        </w:rPr>
        <w:t>ng</w:t>
      </w:r>
      <w:proofErr w:type="spellEnd"/>
      <w:r w:rsidR="005C469C" w:rsidRPr="005C469C">
        <w:rPr>
          <w:rFonts w:asciiTheme="minorHAnsi" w:hAnsiTheme="minorHAnsi"/>
          <w:bCs/>
          <w:sz w:val="22"/>
          <w:szCs w:val="19"/>
        </w:rPr>
        <w:t xml:space="preserve"> Banku dynamika wyników może zmaleć w 2020 r. ze względu na presję płacową. Z jednej strony </w:t>
      </w:r>
      <w:proofErr w:type="spellStart"/>
      <w:r w:rsidR="005C469C" w:rsidRPr="005C469C">
        <w:rPr>
          <w:rFonts w:asciiTheme="minorHAnsi" w:hAnsiTheme="minorHAnsi"/>
          <w:bCs/>
          <w:sz w:val="22"/>
          <w:szCs w:val="19"/>
        </w:rPr>
        <w:t>Comarch</w:t>
      </w:r>
      <w:proofErr w:type="spellEnd"/>
      <w:r w:rsidR="005C469C" w:rsidRPr="005C469C">
        <w:rPr>
          <w:rFonts w:asciiTheme="minorHAnsi" w:hAnsiTheme="minorHAnsi"/>
          <w:bCs/>
          <w:sz w:val="22"/>
          <w:szCs w:val="19"/>
        </w:rPr>
        <w:t xml:space="preserve"> ocenia </w:t>
      </w:r>
      <w:proofErr w:type="spellStart"/>
      <w:r w:rsidR="005C469C" w:rsidRPr="005C469C">
        <w:rPr>
          <w:rFonts w:asciiTheme="minorHAnsi" w:hAnsiTheme="minorHAnsi"/>
          <w:bCs/>
          <w:sz w:val="22"/>
          <w:szCs w:val="19"/>
        </w:rPr>
        <w:t>backlog</w:t>
      </w:r>
      <w:proofErr w:type="spellEnd"/>
      <w:r w:rsidR="005C469C" w:rsidRPr="005C469C">
        <w:rPr>
          <w:rFonts w:asciiTheme="minorHAnsi" w:hAnsiTheme="minorHAnsi"/>
          <w:bCs/>
          <w:sz w:val="22"/>
          <w:szCs w:val="19"/>
        </w:rPr>
        <w:t xml:space="preserve"> na 2020 r. jako rosnący “o kilka procent r/r”. Z drugiej strony w trzecim kwartale 2019 r. koszty zatrudnienia wzrosły w sumie o 14 proc., gdzie za 7 proc.</w:t>
      </w:r>
      <w:r w:rsidR="00A63801">
        <w:rPr>
          <w:rFonts w:asciiTheme="minorHAnsi" w:hAnsiTheme="minorHAnsi"/>
          <w:bCs/>
          <w:sz w:val="22"/>
          <w:szCs w:val="19"/>
        </w:rPr>
        <w:t xml:space="preserve"> </w:t>
      </w:r>
      <w:r w:rsidR="005C469C" w:rsidRPr="005C469C">
        <w:rPr>
          <w:rFonts w:asciiTheme="minorHAnsi" w:hAnsiTheme="minorHAnsi"/>
          <w:bCs/>
          <w:sz w:val="22"/>
          <w:szCs w:val="19"/>
        </w:rPr>
        <w:t>odpowiadała presja płacowa, a drugie 7 proc. było efektem wzrostu liczby pracowników. Koszty wynagrodzeń w Comarchu pochłaniają 65 proc. przychodów. Spółka oczekuje wzrostu płac w 2020 r. o 6-9 proc., co może spowodować, że zyski spółki będą pod presją na skutek dźwigni operacyjnej (stałe koszty płacowe</w:t>
      </w:r>
      <w:r w:rsidR="00411C2F">
        <w:rPr>
          <w:rFonts w:asciiTheme="minorHAnsi" w:hAnsiTheme="minorHAnsi"/>
          <w:bCs/>
          <w:sz w:val="22"/>
          <w:szCs w:val="19"/>
        </w:rPr>
        <w:t xml:space="preserve"> </w:t>
      </w:r>
      <w:r w:rsidR="005C469C" w:rsidRPr="005C469C">
        <w:rPr>
          <w:rFonts w:asciiTheme="minorHAnsi" w:hAnsiTheme="minorHAnsi"/>
          <w:bCs/>
          <w:sz w:val="22"/>
          <w:szCs w:val="19"/>
        </w:rPr>
        <w:t>rosną szybciej niż przychody). Scenariusz ten może się nie sprawdzić, jeśli Comarchowi uda się utrzymać wzrost</w:t>
      </w:r>
      <w:r w:rsidR="00411C2F">
        <w:rPr>
          <w:rFonts w:asciiTheme="minorHAnsi" w:hAnsiTheme="minorHAnsi"/>
          <w:bCs/>
          <w:sz w:val="22"/>
          <w:szCs w:val="19"/>
        </w:rPr>
        <w:t xml:space="preserve"> </w:t>
      </w:r>
      <w:r w:rsidR="005C469C" w:rsidRPr="005C469C">
        <w:rPr>
          <w:rFonts w:asciiTheme="minorHAnsi" w:hAnsiTheme="minorHAnsi"/>
          <w:bCs/>
          <w:sz w:val="22"/>
          <w:szCs w:val="19"/>
        </w:rPr>
        <w:t>przychodów w połączeniu z wyższymi marżami. Jest to możliwe dzięki szerokiej ofercie produktowej i międzynarodowej</w:t>
      </w:r>
      <w:r w:rsidR="00411C2F">
        <w:rPr>
          <w:rFonts w:asciiTheme="minorHAnsi" w:hAnsiTheme="minorHAnsi"/>
          <w:bCs/>
          <w:sz w:val="22"/>
          <w:szCs w:val="19"/>
        </w:rPr>
        <w:t xml:space="preserve"> </w:t>
      </w:r>
      <w:r w:rsidR="005C469C" w:rsidRPr="005C469C">
        <w:rPr>
          <w:rFonts w:asciiTheme="minorHAnsi" w:hAnsiTheme="minorHAnsi"/>
          <w:bCs/>
          <w:sz w:val="22"/>
          <w:szCs w:val="19"/>
        </w:rPr>
        <w:t>obecności spółki. Nie można jednak ignorować gospodarczego</w:t>
      </w:r>
      <w:r w:rsidR="009C3672">
        <w:rPr>
          <w:rFonts w:asciiTheme="minorHAnsi" w:hAnsiTheme="minorHAnsi"/>
          <w:bCs/>
          <w:sz w:val="22"/>
          <w:szCs w:val="19"/>
        </w:rPr>
        <w:t xml:space="preserve"> </w:t>
      </w:r>
      <w:r w:rsidR="005C469C" w:rsidRPr="005C469C">
        <w:rPr>
          <w:rFonts w:asciiTheme="minorHAnsi" w:hAnsiTheme="minorHAnsi"/>
          <w:bCs/>
          <w:sz w:val="22"/>
          <w:szCs w:val="19"/>
        </w:rPr>
        <w:t>spowolnienia na świecie, które może negatywnie wpłynąć na decyzje klientów spółki co do zakupu jej oprogramowania.</w:t>
      </w:r>
    </w:p>
    <w:p w14:paraId="7702FF4D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49091666" w14:textId="77777777" w:rsidR="005C469C" w:rsidRPr="009F3898" w:rsidRDefault="005C469C" w:rsidP="005C469C">
      <w:pPr>
        <w:jc w:val="both"/>
        <w:rPr>
          <w:rFonts w:asciiTheme="minorHAnsi" w:hAnsiTheme="minorHAnsi"/>
          <w:b/>
          <w:bCs/>
          <w:sz w:val="22"/>
          <w:szCs w:val="19"/>
        </w:rPr>
      </w:pPr>
      <w:proofErr w:type="spellStart"/>
      <w:r w:rsidRPr="009F3898">
        <w:rPr>
          <w:rFonts w:asciiTheme="minorHAnsi" w:hAnsiTheme="minorHAnsi"/>
          <w:b/>
          <w:bCs/>
          <w:sz w:val="22"/>
          <w:szCs w:val="19"/>
        </w:rPr>
        <w:t>LiveChat</w:t>
      </w:r>
      <w:proofErr w:type="spellEnd"/>
    </w:p>
    <w:p w14:paraId="7CAD1068" w14:textId="1CC37AB3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proofErr w:type="spellStart"/>
      <w:r w:rsidRPr="005C469C">
        <w:rPr>
          <w:rFonts w:asciiTheme="minorHAnsi" w:hAnsiTheme="minorHAnsi"/>
          <w:bCs/>
          <w:sz w:val="22"/>
          <w:szCs w:val="19"/>
        </w:rPr>
        <w:t>Haitong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Bank utrzymuje rekomendację KUPUJ dla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LiveChat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>,</w:t>
      </w:r>
      <w:r w:rsidR="009F3898">
        <w:rPr>
          <w:rFonts w:asciiTheme="minorHAnsi" w:hAnsiTheme="minorHAnsi"/>
          <w:bCs/>
          <w:sz w:val="22"/>
          <w:szCs w:val="19"/>
        </w:rPr>
        <w:t xml:space="preserve"> </w:t>
      </w:r>
      <w:r w:rsidRPr="005C469C">
        <w:rPr>
          <w:rFonts w:asciiTheme="minorHAnsi" w:hAnsiTheme="minorHAnsi"/>
          <w:bCs/>
          <w:sz w:val="22"/>
          <w:szCs w:val="19"/>
        </w:rPr>
        <w:t xml:space="preserve">obniżając cenę docelową do 58,4 PLN z 61,8 PLN. Obniżenie ceny docelowej wynika z wyższych kosztów ogólnego zarządu, które wiążą się z szybkim rozwojem organicznym spółki oraz rosnącą presją na wynagrodzenia w branży IT.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LiveChat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zatrudnia obecnie 160 osób (+50 proc. r/r). Analitycy oczekują wskaźnik kosztów sprzedaży, ogólnych i administracyjnych do przychodów na poziomie 24-25 proc. w perspektywie najbliższych trzech lat,</w:t>
      </w:r>
      <w:r w:rsidR="00A96201">
        <w:rPr>
          <w:rFonts w:asciiTheme="minorHAnsi" w:hAnsiTheme="minorHAnsi"/>
          <w:bCs/>
          <w:sz w:val="22"/>
          <w:szCs w:val="19"/>
        </w:rPr>
        <w:t xml:space="preserve"> </w:t>
      </w:r>
      <w:r w:rsidRPr="005C469C">
        <w:rPr>
          <w:rFonts w:asciiTheme="minorHAnsi" w:hAnsiTheme="minorHAnsi"/>
          <w:bCs/>
          <w:sz w:val="22"/>
          <w:szCs w:val="19"/>
        </w:rPr>
        <w:t>wobec 17,5 proc. dotychczas.</w:t>
      </w:r>
    </w:p>
    <w:p w14:paraId="165B5F51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4A6471E1" w14:textId="5541BC6B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>Przyrost nowych klientów ustabilizował się na poziomie 200-300 miesięcznie (ok. 250 miesięcznie w ciągu ostatniego roku). W drugim kwartale 2019 r. ARPU spółki zaczął rosnąć, osiągając rekordowe 99,2 USD (+ 4 proc. r/r), co jest efektem tzw. cross-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sellingu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przy rozwiniętym portfolio produktowym (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LiveChat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3.0,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ChatBot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,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HelpDesk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,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KnowledgeBase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>, Marketplace) oraz</w:t>
      </w:r>
      <w:r w:rsidR="00341083">
        <w:rPr>
          <w:rFonts w:asciiTheme="minorHAnsi" w:hAnsiTheme="minorHAnsi"/>
          <w:bCs/>
          <w:sz w:val="22"/>
          <w:szCs w:val="19"/>
        </w:rPr>
        <w:t xml:space="preserve">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upsellingu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>. Cross-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sell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i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upsell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powinny być głównym motorem wzrostu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LiveChat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w krótkim terminie. Poza tym, w perspektywie</w:t>
      </w:r>
      <w:r w:rsidR="00341083">
        <w:rPr>
          <w:rFonts w:asciiTheme="minorHAnsi" w:hAnsiTheme="minorHAnsi"/>
          <w:bCs/>
          <w:sz w:val="22"/>
          <w:szCs w:val="19"/>
        </w:rPr>
        <w:t xml:space="preserve"> </w:t>
      </w:r>
      <w:r w:rsidRPr="005C469C">
        <w:rPr>
          <w:rFonts w:asciiTheme="minorHAnsi" w:hAnsiTheme="minorHAnsi"/>
          <w:bCs/>
          <w:sz w:val="22"/>
          <w:szCs w:val="19"/>
        </w:rPr>
        <w:t>krótkoterminowej spółce może pomóc przyznanie ulgi</w:t>
      </w:r>
      <w:r w:rsidR="00B63141">
        <w:rPr>
          <w:rFonts w:asciiTheme="minorHAnsi" w:hAnsiTheme="minorHAnsi"/>
          <w:bCs/>
          <w:sz w:val="22"/>
          <w:szCs w:val="19"/>
        </w:rPr>
        <w:t xml:space="preserve"> </w:t>
      </w:r>
      <w:r w:rsidRPr="005C469C">
        <w:rPr>
          <w:rFonts w:asciiTheme="minorHAnsi" w:hAnsiTheme="minorHAnsi"/>
          <w:bCs/>
          <w:sz w:val="22"/>
          <w:szCs w:val="19"/>
        </w:rPr>
        <w:t xml:space="preserve">podatkowej dla działalności B+R IP BOX. Według szacunków analityków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Haitong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Banku, zwiększy ona wycenę spółki o 10 PLN na akcję.</w:t>
      </w:r>
    </w:p>
    <w:p w14:paraId="0A719B36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435C0B42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>Jako ryzyko dla spółki, analitycy postrzegają ekspozycję na globalny rynek e-commerce, która w momencie spowolnienia gospodarczego może negatywnie wpłynąć na wyniki. Zdaniem analityków wysokie marże i generowanie dużej ilości gotówki pozwoli spółce wypłacać dywidendę o stopie 5,2-5,8 proc. w najbliższych 2 latach.</w:t>
      </w:r>
    </w:p>
    <w:p w14:paraId="3D28B5FF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5DDADB5D" w14:textId="77777777" w:rsidR="005C469C" w:rsidRPr="000E4B1E" w:rsidRDefault="005C469C" w:rsidP="005C469C">
      <w:pPr>
        <w:jc w:val="both"/>
        <w:rPr>
          <w:rFonts w:asciiTheme="minorHAnsi" w:hAnsiTheme="minorHAnsi"/>
          <w:b/>
          <w:bCs/>
          <w:sz w:val="22"/>
          <w:szCs w:val="19"/>
        </w:rPr>
      </w:pPr>
      <w:r w:rsidRPr="000E4B1E">
        <w:rPr>
          <w:rFonts w:asciiTheme="minorHAnsi" w:hAnsiTheme="minorHAnsi"/>
          <w:b/>
          <w:bCs/>
          <w:sz w:val="22"/>
          <w:szCs w:val="19"/>
        </w:rPr>
        <w:t xml:space="preserve">Ten </w:t>
      </w:r>
      <w:proofErr w:type="spellStart"/>
      <w:r w:rsidRPr="000E4B1E">
        <w:rPr>
          <w:rFonts w:asciiTheme="minorHAnsi" w:hAnsiTheme="minorHAnsi"/>
          <w:b/>
          <w:bCs/>
          <w:sz w:val="22"/>
          <w:szCs w:val="19"/>
        </w:rPr>
        <w:t>Square</w:t>
      </w:r>
      <w:proofErr w:type="spellEnd"/>
      <w:r w:rsidRPr="000E4B1E">
        <w:rPr>
          <w:rFonts w:asciiTheme="minorHAnsi" w:hAnsiTheme="minorHAnsi"/>
          <w:b/>
          <w:bCs/>
          <w:sz w:val="22"/>
          <w:szCs w:val="19"/>
        </w:rPr>
        <w:t xml:space="preserve"> Games</w:t>
      </w:r>
    </w:p>
    <w:p w14:paraId="301E75EC" w14:textId="0F560331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proofErr w:type="spellStart"/>
      <w:r w:rsidRPr="005C469C">
        <w:rPr>
          <w:rFonts w:asciiTheme="minorHAnsi" w:hAnsiTheme="minorHAnsi"/>
          <w:bCs/>
          <w:sz w:val="22"/>
          <w:szCs w:val="19"/>
        </w:rPr>
        <w:t>Haitong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Bank utrzymuje rekomendację KUPUJ dla Ten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Square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Games, podwyższając cenę docelową do 233,4 PLN z 180,5 PLN. Podwyższenie ceny wynika z bardzo dobrych wyników sprzedaży gry Fishing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Clash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. Analitycy zwiększyli również szacunki zysku netto w latach 2019-2021 odpowiednio o 4/21/16 proc. Choć Ten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Square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Games osiągnął sukces głównie dzięki Fishing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Clash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>,</w:t>
      </w:r>
      <w:r w:rsidR="008C4505">
        <w:rPr>
          <w:rFonts w:asciiTheme="minorHAnsi" w:hAnsiTheme="minorHAnsi"/>
          <w:bCs/>
          <w:sz w:val="22"/>
          <w:szCs w:val="19"/>
        </w:rPr>
        <w:t xml:space="preserve"> </w:t>
      </w:r>
      <w:r w:rsidRPr="005C469C">
        <w:rPr>
          <w:rFonts w:asciiTheme="minorHAnsi" w:hAnsiTheme="minorHAnsi"/>
          <w:bCs/>
          <w:sz w:val="22"/>
          <w:szCs w:val="19"/>
        </w:rPr>
        <w:t xml:space="preserve">zdaniem analityków nie jest to firma jednej gry. Od początku roku Fishing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Clash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generuje ok. 86 proc. przychodów, ale 25 proc. zysku brutto po kosztach prowizji i marketingu, ale przed kosztami stałymi, pochodzi z bardziej zyskownych gier: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Let’s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Fish, Wild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Hunt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i Game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Factory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. Dodatkowo, spółka prowadzi obecnie 4 projekty w fazie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pre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lub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soft-launch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: Golf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Rush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,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Hunting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Clash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, Flip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This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House i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SoliTales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>.</w:t>
      </w:r>
    </w:p>
    <w:p w14:paraId="1B9EB13C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3201FDC0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Co więcej, Fishing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Clash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może być wkrótce wydany w Chinach. Zdaniem analityków, po otrzymaniu świetnych ocen na obecnych rynkach, jest to bardzo pozytywny sygnał dla spółki. Ten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Square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Games </w:t>
      </w:r>
      <w:r w:rsidRPr="005C469C">
        <w:rPr>
          <w:rFonts w:asciiTheme="minorHAnsi" w:hAnsiTheme="minorHAnsi"/>
          <w:bCs/>
          <w:sz w:val="22"/>
          <w:szCs w:val="19"/>
        </w:rPr>
        <w:lastRenderedPageBreak/>
        <w:t>ubiega się o przyznanie ulgi IP BOX, która pozwoli spółce korzystać z preferencyjnej stawki podatku dochodowego (5 proc. zamiast 19 proc.). Trudno w tym momencie oszacować wpływ ulgi na zysk netto, ale jeśli spółka otrzyma taką możliwość, jej wycena może zwiększyć się o ok. 10 PLN na akcję.</w:t>
      </w:r>
    </w:p>
    <w:p w14:paraId="11707603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226BFA9A" w14:textId="77777777" w:rsidR="005C469C" w:rsidRPr="008C4505" w:rsidRDefault="005C469C" w:rsidP="005C469C">
      <w:pPr>
        <w:jc w:val="both"/>
        <w:rPr>
          <w:rFonts w:asciiTheme="minorHAnsi" w:hAnsiTheme="minorHAnsi"/>
          <w:b/>
          <w:bCs/>
          <w:sz w:val="22"/>
          <w:szCs w:val="19"/>
        </w:rPr>
      </w:pPr>
      <w:r w:rsidRPr="008C4505">
        <w:rPr>
          <w:rFonts w:asciiTheme="minorHAnsi" w:hAnsiTheme="minorHAnsi"/>
          <w:b/>
          <w:bCs/>
          <w:sz w:val="22"/>
          <w:szCs w:val="19"/>
        </w:rPr>
        <w:t>Wirtualna Polska</w:t>
      </w:r>
    </w:p>
    <w:p w14:paraId="2379B18D" w14:textId="1CCCC3FD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proofErr w:type="spellStart"/>
      <w:r w:rsidRPr="005C469C">
        <w:rPr>
          <w:rFonts w:asciiTheme="minorHAnsi" w:hAnsiTheme="minorHAnsi"/>
          <w:bCs/>
          <w:sz w:val="22"/>
          <w:szCs w:val="19"/>
        </w:rPr>
        <w:t>Haitong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Bank utrzymuje rekomendację KUPUJ dla Wirtualnej Polski i podwyższa cenę docelową do 74,6 PLN z 67,9 PLN. Analitycy podwyższyli szacunki EBITDA spółki na lata 2019-2021 odpowiednio o 2/4/6 proc. na skutek wyższych od oczekiwań wzrostów </w:t>
      </w:r>
      <w:r w:rsidR="00120BB6">
        <w:rPr>
          <w:rFonts w:asciiTheme="minorHAnsi" w:hAnsiTheme="minorHAnsi"/>
          <w:bCs/>
          <w:sz w:val="22"/>
          <w:szCs w:val="19"/>
        </w:rPr>
        <w:t>przychodów</w:t>
      </w:r>
      <w:r w:rsidRPr="005C469C">
        <w:rPr>
          <w:rFonts w:asciiTheme="minorHAnsi" w:hAnsiTheme="minorHAnsi"/>
          <w:bCs/>
          <w:sz w:val="22"/>
          <w:szCs w:val="19"/>
        </w:rPr>
        <w:t xml:space="preserve">. Wirtualna </w:t>
      </w:r>
      <w:r w:rsidR="0055239A">
        <w:rPr>
          <w:rFonts w:asciiTheme="minorHAnsi" w:hAnsiTheme="minorHAnsi"/>
          <w:bCs/>
          <w:sz w:val="22"/>
          <w:szCs w:val="19"/>
        </w:rPr>
        <w:t>Polska utrzymuje wysoka dynamikę</w:t>
      </w: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  <w:r w:rsidR="00644918">
        <w:rPr>
          <w:rFonts w:asciiTheme="minorHAnsi" w:hAnsiTheme="minorHAnsi"/>
          <w:bCs/>
          <w:sz w:val="22"/>
          <w:szCs w:val="19"/>
        </w:rPr>
        <w:t xml:space="preserve">przychodów i </w:t>
      </w:r>
      <w:r w:rsidRPr="005C469C">
        <w:rPr>
          <w:rFonts w:asciiTheme="minorHAnsi" w:hAnsiTheme="minorHAnsi"/>
          <w:bCs/>
          <w:sz w:val="22"/>
          <w:szCs w:val="19"/>
        </w:rPr>
        <w:t>EBITDA</w:t>
      </w:r>
      <w:r w:rsidR="0055239A">
        <w:rPr>
          <w:rFonts w:asciiTheme="minorHAnsi" w:hAnsiTheme="minorHAnsi"/>
          <w:bCs/>
          <w:sz w:val="22"/>
          <w:szCs w:val="19"/>
        </w:rPr>
        <w:t xml:space="preserve"> </w:t>
      </w:r>
      <w:proofErr w:type="spellStart"/>
      <w:r w:rsidR="00644918">
        <w:rPr>
          <w:rFonts w:asciiTheme="minorHAnsi" w:hAnsiTheme="minorHAnsi"/>
          <w:bCs/>
          <w:sz w:val="22"/>
          <w:szCs w:val="19"/>
        </w:rPr>
        <w:t>LfL</w:t>
      </w:r>
      <w:proofErr w:type="spellEnd"/>
      <w:r w:rsidR="00644918">
        <w:rPr>
          <w:rFonts w:asciiTheme="minorHAnsi" w:hAnsiTheme="minorHAnsi"/>
          <w:bCs/>
          <w:sz w:val="22"/>
          <w:szCs w:val="19"/>
        </w:rPr>
        <w:t xml:space="preserve"> </w:t>
      </w:r>
      <w:r w:rsidR="00D74419">
        <w:rPr>
          <w:rFonts w:asciiTheme="minorHAnsi" w:hAnsiTheme="minorHAnsi"/>
          <w:bCs/>
          <w:sz w:val="22"/>
          <w:szCs w:val="19"/>
        </w:rPr>
        <w:t>LTM (</w:t>
      </w:r>
      <w:r w:rsidRPr="005C469C">
        <w:rPr>
          <w:rFonts w:asciiTheme="minorHAnsi" w:hAnsiTheme="minorHAnsi"/>
          <w:bCs/>
          <w:sz w:val="22"/>
          <w:szCs w:val="19"/>
        </w:rPr>
        <w:t xml:space="preserve">odpowiednio +18 proc. r/r i +10 proc. r/r), w stosunku do raportowanych +32 proc. i +16 proc. Dobre wyniki są nie tylko efektem ekspozycji spółki na dynamicznie rozwijający się rynek e-commerce, reklam online i dokonanych akwizycji, ale także zdolności spółki do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monetyzacji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bazy 21,3 mln użytkowników real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users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. Wirtualna Polska pokazuje także pozytywne efekty wewnętrznej restrukturyzacji (wzrost wskaźnika wyświetleń reklam), która pozwoliła zdystansować rynek. Otoczenie biznesowe powinno sprzyjać spółce w 2020 r. Wirtualna Polska oczekuje dalszego wzrostu dzięki cyfryzacji gospodarki oraz wysokich jednocyfrowych wzrostów na rynku reklam online, co jest zgodne z oczekiwaniami analityków </w:t>
      </w:r>
      <w:proofErr w:type="spellStart"/>
      <w:r w:rsidRPr="005C469C">
        <w:rPr>
          <w:rFonts w:asciiTheme="minorHAnsi" w:hAnsiTheme="minorHAnsi"/>
          <w:bCs/>
          <w:sz w:val="22"/>
          <w:szCs w:val="19"/>
        </w:rPr>
        <w:t>Haitong</w:t>
      </w:r>
      <w:proofErr w:type="spellEnd"/>
      <w:r w:rsidRPr="005C469C">
        <w:rPr>
          <w:rFonts w:asciiTheme="minorHAnsi" w:hAnsiTheme="minorHAnsi"/>
          <w:bCs/>
          <w:sz w:val="22"/>
          <w:szCs w:val="19"/>
        </w:rPr>
        <w:t xml:space="preserve"> Banku.</w:t>
      </w:r>
    </w:p>
    <w:p w14:paraId="0E9D2C44" w14:textId="77777777" w:rsidR="005C469C" w:rsidRPr="005C469C" w:rsidRDefault="005C469C" w:rsidP="005C469C">
      <w:pPr>
        <w:jc w:val="both"/>
        <w:rPr>
          <w:rFonts w:asciiTheme="minorHAnsi" w:hAnsiTheme="minorHAnsi"/>
          <w:bCs/>
          <w:sz w:val="22"/>
          <w:szCs w:val="19"/>
        </w:rPr>
      </w:pPr>
      <w:r w:rsidRPr="005C469C">
        <w:rPr>
          <w:rFonts w:asciiTheme="minorHAnsi" w:hAnsiTheme="minorHAnsi"/>
          <w:bCs/>
          <w:sz w:val="22"/>
          <w:szCs w:val="19"/>
        </w:rPr>
        <w:t xml:space="preserve"> </w:t>
      </w:r>
    </w:p>
    <w:p w14:paraId="472043CE" w14:textId="3EB7EF77" w:rsidR="00216B92" w:rsidRPr="005C469C" w:rsidRDefault="005C469C" w:rsidP="005C469C">
      <w:pPr>
        <w:jc w:val="both"/>
        <w:rPr>
          <w:rFonts w:asciiTheme="minorHAnsi" w:eastAsiaTheme="minorHAnsi" w:hAnsiTheme="minorHAnsi" w:cs="Gotham Bold"/>
          <w:color w:val="000000"/>
          <w:sz w:val="22"/>
          <w:szCs w:val="19"/>
          <w:lang w:eastAsia="en-US"/>
        </w:rPr>
      </w:pPr>
      <w:r w:rsidRPr="005C469C">
        <w:rPr>
          <w:rFonts w:asciiTheme="minorHAnsi" w:hAnsiTheme="minorHAnsi"/>
          <w:bCs/>
          <w:sz w:val="22"/>
          <w:szCs w:val="19"/>
        </w:rPr>
        <w:t>Analitycy postrzegają spowolnienie gospodarcze na rynkach lokalnych i międzynarodowych jako największe ryzyko dla spółki, które może negatywnie wpłynąć na rynek reklam online i prywatną konsumpcję w branży e-commerce. Analitycy nie uwzględniają jednak tego w swoim scenariuszu bazowym. Szacują, że Wirtualna Polska jest obecnie wyceniana na lata 2019 i 2020 ze wskaźnikiem EV/EBITDA na poziomie 11,3/9,5, co wciąż jest atrakcyjną wartością biorąc pod uwagę dynamikę wyników spółki.</w:t>
      </w:r>
    </w:p>
    <w:sectPr w:rsidR="00216B92" w:rsidRPr="005C46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963F" w14:textId="77777777" w:rsidR="00C102EA" w:rsidRDefault="00C102EA">
      <w:r>
        <w:separator/>
      </w:r>
    </w:p>
  </w:endnote>
  <w:endnote w:type="continuationSeparator" w:id="0">
    <w:p w14:paraId="6103404C" w14:textId="77777777" w:rsidR="00C102EA" w:rsidRDefault="00C1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sSans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AA09" w14:textId="77777777" w:rsidR="00C102EA" w:rsidRDefault="00C102EA">
      <w:r>
        <w:separator/>
      </w:r>
    </w:p>
  </w:footnote>
  <w:footnote w:type="continuationSeparator" w:id="0">
    <w:p w14:paraId="629ABF79" w14:textId="77777777" w:rsidR="00C102EA" w:rsidRDefault="00C1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941D" w14:textId="77777777" w:rsidR="00474E83" w:rsidRDefault="00874B9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FFC6B06" wp14:editId="61A27249">
          <wp:simplePos x="0" y="0"/>
          <wp:positionH relativeFrom="column">
            <wp:posOffset>-547370</wp:posOffset>
          </wp:positionH>
          <wp:positionV relativeFrom="paragraph">
            <wp:posOffset>-49530</wp:posOffset>
          </wp:positionV>
          <wp:extent cx="2781300" cy="4889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_H_pag A2-4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78E"/>
    <w:multiLevelType w:val="hybridMultilevel"/>
    <w:tmpl w:val="1DAC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Mkhitaran">
    <w15:presenceInfo w15:providerId="AD" w15:userId="S::hanna.mkhitaran@itmagination.com::4b1b56c7-b03a-418a-9042-6a994798d6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56"/>
    <w:rsid w:val="0000441D"/>
    <w:rsid w:val="00006F5D"/>
    <w:rsid w:val="000074D9"/>
    <w:rsid w:val="000078C8"/>
    <w:rsid w:val="00011B44"/>
    <w:rsid w:val="00012EBA"/>
    <w:rsid w:val="00022BC9"/>
    <w:rsid w:val="00023C04"/>
    <w:rsid w:val="00026FFB"/>
    <w:rsid w:val="00032456"/>
    <w:rsid w:val="000325E2"/>
    <w:rsid w:val="000345A8"/>
    <w:rsid w:val="000448D3"/>
    <w:rsid w:val="00051198"/>
    <w:rsid w:val="00070D61"/>
    <w:rsid w:val="00084040"/>
    <w:rsid w:val="00091369"/>
    <w:rsid w:val="000944FA"/>
    <w:rsid w:val="000A266D"/>
    <w:rsid w:val="000A3763"/>
    <w:rsid w:val="000B3E03"/>
    <w:rsid w:val="000B3FA4"/>
    <w:rsid w:val="000C2D3F"/>
    <w:rsid w:val="000D1BC7"/>
    <w:rsid w:val="000D7824"/>
    <w:rsid w:val="000E123E"/>
    <w:rsid w:val="000E3B9B"/>
    <w:rsid w:val="000E4AC6"/>
    <w:rsid w:val="000E4B1E"/>
    <w:rsid w:val="000E5C26"/>
    <w:rsid w:val="000E6FD3"/>
    <w:rsid w:val="0010063A"/>
    <w:rsid w:val="00100F2B"/>
    <w:rsid w:val="0010123A"/>
    <w:rsid w:val="001043E5"/>
    <w:rsid w:val="00107ED1"/>
    <w:rsid w:val="00120989"/>
    <w:rsid w:val="00120BAD"/>
    <w:rsid w:val="00120BB6"/>
    <w:rsid w:val="001223A7"/>
    <w:rsid w:val="001253D1"/>
    <w:rsid w:val="001376A4"/>
    <w:rsid w:val="00156CBB"/>
    <w:rsid w:val="00171EE2"/>
    <w:rsid w:val="00173172"/>
    <w:rsid w:val="00183CD7"/>
    <w:rsid w:val="00194E10"/>
    <w:rsid w:val="001A13D7"/>
    <w:rsid w:val="001A15B2"/>
    <w:rsid w:val="001A4485"/>
    <w:rsid w:val="001A64A9"/>
    <w:rsid w:val="001C2F92"/>
    <w:rsid w:val="001C58F3"/>
    <w:rsid w:val="001C66C5"/>
    <w:rsid w:val="001D143D"/>
    <w:rsid w:val="001D2867"/>
    <w:rsid w:val="001D3C19"/>
    <w:rsid w:val="001E0150"/>
    <w:rsid w:val="001E0ADF"/>
    <w:rsid w:val="001E1C52"/>
    <w:rsid w:val="001E2795"/>
    <w:rsid w:val="001F1B0A"/>
    <w:rsid w:val="001F2585"/>
    <w:rsid w:val="001F4DED"/>
    <w:rsid w:val="00200601"/>
    <w:rsid w:val="0021223D"/>
    <w:rsid w:val="00214356"/>
    <w:rsid w:val="00214F81"/>
    <w:rsid w:val="00215A0A"/>
    <w:rsid w:val="00216B92"/>
    <w:rsid w:val="00217E36"/>
    <w:rsid w:val="00235B67"/>
    <w:rsid w:val="00235F98"/>
    <w:rsid w:val="00237575"/>
    <w:rsid w:val="00240F74"/>
    <w:rsid w:val="002410CE"/>
    <w:rsid w:val="00254802"/>
    <w:rsid w:val="002616BA"/>
    <w:rsid w:val="00264765"/>
    <w:rsid w:val="00270A7B"/>
    <w:rsid w:val="00271062"/>
    <w:rsid w:val="002A0CCA"/>
    <w:rsid w:val="002A0F1A"/>
    <w:rsid w:val="002A3BE3"/>
    <w:rsid w:val="002A530B"/>
    <w:rsid w:val="002B5D0A"/>
    <w:rsid w:val="002C1C76"/>
    <w:rsid w:val="002C5CFD"/>
    <w:rsid w:val="002C64BA"/>
    <w:rsid w:val="002D5587"/>
    <w:rsid w:val="002D711E"/>
    <w:rsid w:val="002E7ED8"/>
    <w:rsid w:val="002F3D5D"/>
    <w:rsid w:val="003127AE"/>
    <w:rsid w:val="00315A55"/>
    <w:rsid w:val="00315B3A"/>
    <w:rsid w:val="0032454B"/>
    <w:rsid w:val="00324AB8"/>
    <w:rsid w:val="00326131"/>
    <w:rsid w:val="00341083"/>
    <w:rsid w:val="00342C56"/>
    <w:rsid w:val="00342FB5"/>
    <w:rsid w:val="00354394"/>
    <w:rsid w:val="00373E5C"/>
    <w:rsid w:val="0038042C"/>
    <w:rsid w:val="00386E83"/>
    <w:rsid w:val="003926F0"/>
    <w:rsid w:val="003A481E"/>
    <w:rsid w:val="003A49EB"/>
    <w:rsid w:val="003A78FD"/>
    <w:rsid w:val="003B16FB"/>
    <w:rsid w:val="003B1737"/>
    <w:rsid w:val="003D222B"/>
    <w:rsid w:val="003D2AEE"/>
    <w:rsid w:val="003D3959"/>
    <w:rsid w:val="003D4972"/>
    <w:rsid w:val="003D5BB6"/>
    <w:rsid w:val="003E4BC0"/>
    <w:rsid w:val="003E4CF8"/>
    <w:rsid w:val="003F0E16"/>
    <w:rsid w:val="00411C2F"/>
    <w:rsid w:val="00417726"/>
    <w:rsid w:val="004216B3"/>
    <w:rsid w:val="00424AB7"/>
    <w:rsid w:val="0042638F"/>
    <w:rsid w:val="0042791D"/>
    <w:rsid w:val="0043457D"/>
    <w:rsid w:val="00434AD8"/>
    <w:rsid w:val="00436FAE"/>
    <w:rsid w:val="00441324"/>
    <w:rsid w:val="00452651"/>
    <w:rsid w:val="0045534B"/>
    <w:rsid w:val="00457D92"/>
    <w:rsid w:val="00463C67"/>
    <w:rsid w:val="00475CCF"/>
    <w:rsid w:val="00491C37"/>
    <w:rsid w:val="0049252A"/>
    <w:rsid w:val="00493D21"/>
    <w:rsid w:val="004B2387"/>
    <w:rsid w:val="004B4A57"/>
    <w:rsid w:val="004C49C8"/>
    <w:rsid w:val="004D117D"/>
    <w:rsid w:val="004D3271"/>
    <w:rsid w:val="004E12B7"/>
    <w:rsid w:val="004F2913"/>
    <w:rsid w:val="004F68B2"/>
    <w:rsid w:val="0050002B"/>
    <w:rsid w:val="00502E61"/>
    <w:rsid w:val="00512B92"/>
    <w:rsid w:val="00515998"/>
    <w:rsid w:val="00522C64"/>
    <w:rsid w:val="005249AA"/>
    <w:rsid w:val="0052618A"/>
    <w:rsid w:val="0053015C"/>
    <w:rsid w:val="0055239A"/>
    <w:rsid w:val="005528B4"/>
    <w:rsid w:val="00554D3E"/>
    <w:rsid w:val="00557B29"/>
    <w:rsid w:val="00560069"/>
    <w:rsid w:val="0057134F"/>
    <w:rsid w:val="00577532"/>
    <w:rsid w:val="00585D84"/>
    <w:rsid w:val="005A4075"/>
    <w:rsid w:val="005A7746"/>
    <w:rsid w:val="005B03A8"/>
    <w:rsid w:val="005C0758"/>
    <w:rsid w:val="005C469C"/>
    <w:rsid w:val="005C4722"/>
    <w:rsid w:val="005C5C15"/>
    <w:rsid w:val="005C635A"/>
    <w:rsid w:val="005C795B"/>
    <w:rsid w:val="005D6D55"/>
    <w:rsid w:val="005E64A2"/>
    <w:rsid w:val="005E6CF0"/>
    <w:rsid w:val="005F3998"/>
    <w:rsid w:val="005F63A5"/>
    <w:rsid w:val="00602B71"/>
    <w:rsid w:val="00610240"/>
    <w:rsid w:val="00614CA5"/>
    <w:rsid w:val="00617D50"/>
    <w:rsid w:val="006277B2"/>
    <w:rsid w:val="00633BBB"/>
    <w:rsid w:val="0064258E"/>
    <w:rsid w:val="00644918"/>
    <w:rsid w:val="00645F6C"/>
    <w:rsid w:val="00672213"/>
    <w:rsid w:val="0067367F"/>
    <w:rsid w:val="00683737"/>
    <w:rsid w:val="006858CB"/>
    <w:rsid w:val="00690483"/>
    <w:rsid w:val="00695A1D"/>
    <w:rsid w:val="006A5AE8"/>
    <w:rsid w:val="006B64E8"/>
    <w:rsid w:val="006B6D80"/>
    <w:rsid w:val="006C44F8"/>
    <w:rsid w:val="006C6336"/>
    <w:rsid w:val="006D0577"/>
    <w:rsid w:val="006E2959"/>
    <w:rsid w:val="006E513F"/>
    <w:rsid w:val="006F09F9"/>
    <w:rsid w:val="006F29BE"/>
    <w:rsid w:val="006F442D"/>
    <w:rsid w:val="006F4818"/>
    <w:rsid w:val="006F7CED"/>
    <w:rsid w:val="00714FDB"/>
    <w:rsid w:val="007158B7"/>
    <w:rsid w:val="00735DCC"/>
    <w:rsid w:val="0074789C"/>
    <w:rsid w:val="00751791"/>
    <w:rsid w:val="0075345F"/>
    <w:rsid w:val="0076712B"/>
    <w:rsid w:val="007729FB"/>
    <w:rsid w:val="00773B66"/>
    <w:rsid w:val="007816DE"/>
    <w:rsid w:val="0079383E"/>
    <w:rsid w:val="007940BF"/>
    <w:rsid w:val="00795374"/>
    <w:rsid w:val="007A439B"/>
    <w:rsid w:val="007B160C"/>
    <w:rsid w:val="007B1BF9"/>
    <w:rsid w:val="007B2F3E"/>
    <w:rsid w:val="007C1714"/>
    <w:rsid w:val="007C1BFF"/>
    <w:rsid w:val="007C2091"/>
    <w:rsid w:val="007C682B"/>
    <w:rsid w:val="007D194C"/>
    <w:rsid w:val="007D57DE"/>
    <w:rsid w:val="007D617F"/>
    <w:rsid w:val="007D6342"/>
    <w:rsid w:val="007E7212"/>
    <w:rsid w:val="007E7F08"/>
    <w:rsid w:val="007F3C1B"/>
    <w:rsid w:val="007F636C"/>
    <w:rsid w:val="0080080A"/>
    <w:rsid w:val="00800D2B"/>
    <w:rsid w:val="00810AD3"/>
    <w:rsid w:val="00812975"/>
    <w:rsid w:val="00815D7B"/>
    <w:rsid w:val="00821363"/>
    <w:rsid w:val="008226B2"/>
    <w:rsid w:val="00822812"/>
    <w:rsid w:val="00823FD1"/>
    <w:rsid w:val="00824EA8"/>
    <w:rsid w:val="00827C33"/>
    <w:rsid w:val="008304A5"/>
    <w:rsid w:val="00831889"/>
    <w:rsid w:val="00832A60"/>
    <w:rsid w:val="00841C97"/>
    <w:rsid w:val="008463DD"/>
    <w:rsid w:val="0084776D"/>
    <w:rsid w:val="00855709"/>
    <w:rsid w:val="00861C16"/>
    <w:rsid w:val="00867DF2"/>
    <w:rsid w:val="0087245E"/>
    <w:rsid w:val="00874B9E"/>
    <w:rsid w:val="00885692"/>
    <w:rsid w:val="0089525B"/>
    <w:rsid w:val="008A0BBA"/>
    <w:rsid w:val="008B2162"/>
    <w:rsid w:val="008B2A7F"/>
    <w:rsid w:val="008B469C"/>
    <w:rsid w:val="008B549B"/>
    <w:rsid w:val="008B76CB"/>
    <w:rsid w:val="008C10C5"/>
    <w:rsid w:val="008C4490"/>
    <w:rsid w:val="008C4505"/>
    <w:rsid w:val="008E0B30"/>
    <w:rsid w:val="008E632B"/>
    <w:rsid w:val="008E7194"/>
    <w:rsid w:val="009027C8"/>
    <w:rsid w:val="009112EF"/>
    <w:rsid w:val="00925394"/>
    <w:rsid w:val="009275A0"/>
    <w:rsid w:val="0095106C"/>
    <w:rsid w:val="0095139D"/>
    <w:rsid w:val="00960316"/>
    <w:rsid w:val="0098212A"/>
    <w:rsid w:val="009862E5"/>
    <w:rsid w:val="009865D3"/>
    <w:rsid w:val="00987F02"/>
    <w:rsid w:val="00995B41"/>
    <w:rsid w:val="009A5B18"/>
    <w:rsid w:val="009C1628"/>
    <w:rsid w:val="009C1997"/>
    <w:rsid w:val="009C226A"/>
    <w:rsid w:val="009C3672"/>
    <w:rsid w:val="009D293E"/>
    <w:rsid w:val="009D3685"/>
    <w:rsid w:val="009D39C2"/>
    <w:rsid w:val="009D6638"/>
    <w:rsid w:val="009E6197"/>
    <w:rsid w:val="009F3898"/>
    <w:rsid w:val="00A07DCC"/>
    <w:rsid w:val="00A126D4"/>
    <w:rsid w:val="00A12A98"/>
    <w:rsid w:val="00A22BA8"/>
    <w:rsid w:val="00A27C12"/>
    <w:rsid w:val="00A40F67"/>
    <w:rsid w:val="00A47A29"/>
    <w:rsid w:val="00A50824"/>
    <w:rsid w:val="00A54442"/>
    <w:rsid w:val="00A62DC6"/>
    <w:rsid w:val="00A63801"/>
    <w:rsid w:val="00A651EB"/>
    <w:rsid w:val="00A76175"/>
    <w:rsid w:val="00A76DBC"/>
    <w:rsid w:val="00A81633"/>
    <w:rsid w:val="00A96201"/>
    <w:rsid w:val="00AA4871"/>
    <w:rsid w:val="00AA4A8F"/>
    <w:rsid w:val="00AA6E9B"/>
    <w:rsid w:val="00AB2826"/>
    <w:rsid w:val="00AB3730"/>
    <w:rsid w:val="00AB7454"/>
    <w:rsid w:val="00AB7641"/>
    <w:rsid w:val="00AB77DF"/>
    <w:rsid w:val="00AC1111"/>
    <w:rsid w:val="00AC1B2D"/>
    <w:rsid w:val="00AC1D6F"/>
    <w:rsid w:val="00AD4589"/>
    <w:rsid w:val="00B028F9"/>
    <w:rsid w:val="00B02A3B"/>
    <w:rsid w:val="00B108A5"/>
    <w:rsid w:val="00B1230B"/>
    <w:rsid w:val="00B13745"/>
    <w:rsid w:val="00B1738C"/>
    <w:rsid w:val="00B234D9"/>
    <w:rsid w:val="00B23D13"/>
    <w:rsid w:val="00B23F0E"/>
    <w:rsid w:val="00B256E6"/>
    <w:rsid w:val="00B34ED2"/>
    <w:rsid w:val="00B35601"/>
    <w:rsid w:val="00B37404"/>
    <w:rsid w:val="00B407BA"/>
    <w:rsid w:val="00B41A08"/>
    <w:rsid w:val="00B41A42"/>
    <w:rsid w:val="00B46583"/>
    <w:rsid w:val="00B51F82"/>
    <w:rsid w:val="00B521B9"/>
    <w:rsid w:val="00B63141"/>
    <w:rsid w:val="00B632F9"/>
    <w:rsid w:val="00B738EA"/>
    <w:rsid w:val="00B86ACD"/>
    <w:rsid w:val="00B92410"/>
    <w:rsid w:val="00BA5B75"/>
    <w:rsid w:val="00BB5055"/>
    <w:rsid w:val="00BB59F6"/>
    <w:rsid w:val="00BC6581"/>
    <w:rsid w:val="00BC79A2"/>
    <w:rsid w:val="00BD1541"/>
    <w:rsid w:val="00BD4CA6"/>
    <w:rsid w:val="00BE148B"/>
    <w:rsid w:val="00BE42F7"/>
    <w:rsid w:val="00BE477C"/>
    <w:rsid w:val="00BF31E7"/>
    <w:rsid w:val="00BF3221"/>
    <w:rsid w:val="00C01C0E"/>
    <w:rsid w:val="00C06006"/>
    <w:rsid w:val="00C102EA"/>
    <w:rsid w:val="00C113BB"/>
    <w:rsid w:val="00C1502E"/>
    <w:rsid w:val="00C15085"/>
    <w:rsid w:val="00C15FB1"/>
    <w:rsid w:val="00C17E57"/>
    <w:rsid w:val="00C44CA1"/>
    <w:rsid w:val="00C45562"/>
    <w:rsid w:val="00C476EA"/>
    <w:rsid w:val="00C52A0C"/>
    <w:rsid w:val="00C63E78"/>
    <w:rsid w:val="00C6431B"/>
    <w:rsid w:val="00C70642"/>
    <w:rsid w:val="00C81001"/>
    <w:rsid w:val="00C8284B"/>
    <w:rsid w:val="00C82F2B"/>
    <w:rsid w:val="00C86DF3"/>
    <w:rsid w:val="00C931B8"/>
    <w:rsid w:val="00C9464C"/>
    <w:rsid w:val="00C94C90"/>
    <w:rsid w:val="00CB4B2E"/>
    <w:rsid w:val="00CC303B"/>
    <w:rsid w:val="00CC389F"/>
    <w:rsid w:val="00CC6C93"/>
    <w:rsid w:val="00CD0F52"/>
    <w:rsid w:val="00CD5050"/>
    <w:rsid w:val="00CD737E"/>
    <w:rsid w:val="00CF2B9B"/>
    <w:rsid w:val="00D0057D"/>
    <w:rsid w:val="00D00CBA"/>
    <w:rsid w:val="00D03286"/>
    <w:rsid w:val="00D16AFC"/>
    <w:rsid w:val="00D23CC0"/>
    <w:rsid w:val="00D305FA"/>
    <w:rsid w:val="00D343D3"/>
    <w:rsid w:val="00D3542D"/>
    <w:rsid w:val="00D371EB"/>
    <w:rsid w:val="00D40254"/>
    <w:rsid w:val="00D42988"/>
    <w:rsid w:val="00D42A63"/>
    <w:rsid w:val="00D558A7"/>
    <w:rsid w:val="00D63D7C"/>
    <w:rsid w:val="00D74419"/>
    <w:rsid w:val="00D805DE"/>
    <w:rsid w:val="00D814B8"/>
    <w:rsid w:val="00D83088"/>
    <w:rsid w:val="00D911FC"/>
    <w:rsid w:val="00DA4BFC"/>
    <w:rsid w:val="00DA5FCB"/>
    <w:rsid w:val="00DA7326"/>
    <w:rsid w:val="00DA73F4"/>
    <w:rsid w:val="00DB0F4C"/>
    <w:rsid w:val="00DB5688"/>
    <w:rsid w:val="00DD04DC"/>
    <w:rsid w:val="00DD6A01"/>
    <w:rsid w:val="00DD7D5F"/>
    <w:rsid w:val="00DE12EC"/>
    <w:rsid w:val="00DE3425"/>
    <w:rsid w:val="00DE3D40"/>
    <w:rsid w:val="00DF2710"/>
    <w:rsid w:val="00E01D97"/>
    <w:rsid w:val="00E1049C"/>
    <w:rsid w:val="00E13BE5"/>
    <w:rsid w:val="00E223C1"/>
    <w:rsid w:val="00E24FF7"/>
    <w:rsid w:val="00E30215"/>
    <w:rsid w:val="00E325C3"/>
    <w:rsid w:val="00E35175"/>
    <w:rsid w:val="00E46A7D"/>
    <w:rsid w:val="00E56279"/>
    <w:rsid w:val="00E60D9A"/>
    <w:rsid w:val="00E63AD9"/>
    <w:rsid w:val="00E664D3"/>
    <w:rsid w:val="00E70F0F"/>
    <w:rsid w:val="00E76B42"/>
    <w:rsid w:val="00E81E90"/>
    <w:rsid w:val="00E85F23"/>
    <w:rsid w:val="00E9163C"/>
    <w:rsid w:val="00E91D11"/>
    <w:rsid w:val="00EA6B79"/>
    <w:rsid w:val="00EB26E5"/>
    <w:rsid w:val="00EB4D6F"/>
    <w:rsid w:val="00EB5BA4"/>
    <w:rsid w:val="00EC4B3E"/>
    <w:rsid w:val="00ED1104"/>
    <w:rsid w:val="00ED12E6"/>
    <w:rsid w:val="00ED43A7"/>
    <w:rsid w:val="00EF73B6"/>
    <w:rsid w:val="00F02052"/>
    <w:rsid w:val="00F063E5"/>
    <w:rsid w:val="00F11AE9"/>
    <w:rsid w:val="00F32D79"/>
    <w:rsid w:val="00F36755"/>
    <w:rsid w:val="00F4066C"/>
    <w:rsid w:val="00F6617B"/>
    <w:rsid w:val="00F66813"/>
    <w:rsid w:val="00F734FB"/>
    <w:rsid w:val="00F749B5"/>
    <w:rsid w:val="00F80A21"/>
    <w:rsid w:val="00F84FAB"/>
    <w:rsid w:val="00F878F9"/>
    <w:rsid w:val="00F931ED"/>
    <w:rsid w:val="00FA235E"/>
    <w:rsid w:val="00FB05F0"/>
    <w:rsid w:val="00FB7137"/>
    <w:rsid w:val="00FE7931"/>
    <w:rsid w:val="00FF42DF"/>
    <w:rsid w:val="00FF5B25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1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2456"/>
    <w:rPr>
      <w:lang w:val="en-GB"/>
    </w:rPr>
  </w:style>
  <w:style w:type="paragraph" w:customStyle="1" w:styleId="TEXTONORMAL">
    <w:name w:val="TEXTO NORMAL"/>
    <w:basedOn w:val="Normalny"/>
    <w:next w:val="Normalny"/>
    <w:rsid w:val="00032456"/>
    <w:pPr>
      <w:spacing w:line="276" w:lineRule="auto"/>
    </w:pPr>
    <w:rPr>
      <w:rFonts w:ascii="BesSans" w:eastAsia="Calibri" w:hAnsi="BesSans"/>
      <w:sz w:val="20"/>
      <w:szCs w:val="20"/>
      <w:lang w:val="en-US" w:eastAsia="en-US"/>
    </w:rPr>
  </w:style>
  <w:style w:type="paragraph" w:customStyle="1" w:styleId="Default">
    <w:name w:val="Default"/>
    <w:rsid w:val="0003245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4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42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2456"/>
    <w:rPr>
      <w:lang w:val="en-GB"/>
    </w:rPr>
  </w:style>
  <w:style w:type="paragraph" w:customStyle="1" w:styleId="TEXTONORMAL">
    <w:name w:val="TEXTO NORMAL"/>
    <w:basedOn w:val="Normalny"/>
    <w:next w:val="Normalny"/>
    <w:rsid w:val="00032456"/>
    <w:pPr>
      <w:spacing w:line="276" w:lineRule="auto"/>
    </w:pPr>
    <w:rPr>
      <w:rFonts w:ascii="BesSans" w:eastAsia="Calibri" w:hAnsi="BesSans"/>
      <w:sz w:val="20"/>
      <w:szCs w:val="20"/>
      <w:lang w:val="en-US" w:eastAsia="en-US"/>
    </w:rPr>
  </w:style>
  <w:style w:type="paragraph" w:customStyle="1" w:styleId="Default">
    <w:name w:val="Default"/>
    <w:rsid w:val="0003245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4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42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Wappa</dc:creator>
  <cp:lastModifiedBy>Karol Pietrasiak</cp:lastModifiedBy>
  <cp:revision>347</cp:revision>
  <dcterms:created xsi:type="dcterms:W3CDTF">2019-12-16T09:36:00Z</dcterms:created>
  <dcterms:modified xsi:type="dcterms:W3CDTF">2019-12-17T08:55:00Z</dcterms:modified>
</cp:coreProperties>
</file>